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16</w:t>
      </w:r>
    </w:p>
    <w:p>
      <w:r>
        <w:t>Bundesgericht (BGE), 2022-01-01, FR</w:t>
      </w:r>
    </w:p>
    <w:p>
      <w:r>
        <w:rPr>
          <w:b/>
        </w:rPr>
        <w:t xml:space="preserve">Quelle: </w:t>
      </w:r>
      <w:r>
        <w:t>https://mcp.opencaselaw.ch/entscheid/bge_148 II 16</w:t>
      </w:r>
    </w:p>
    <w:p>
      <w:r>
        <w:t>FR: ATF 148 II 16</w:t>
      </w:r>
    </w:p>
    <w:p>
      <w:r>
        <w:t>IT: DTF 148 II 16</w:t>
      </w:r>
    </w:p>
    <w:p>
      <w:pPr>
        <w:pStyle w:val="Heading2"/>
      </w:pPr>
      <w:r>
        <w:t>Regeste</w:t>
      </w:r>
    </w:p>
    <w:p>
      <w:r>
        <w:t>Regeste Art. 86 BVG; Art. 4 lit. a BGÖ; Art. 26 Abs. 4 des Genfer Öffentlichkeits- und Datenschutzgesetzes vom 5. Oktober 2001 (LIPAD/GE); Gesuch um Zugang zum Sitzungsprotokoll der Verwaltungskommission der Personalvorsorgekasse des Kantons Genf über die Herabsetzung des technischen Zinssatzes und die Änderung der Sterblichkeitstabelle. Durch das Inkrafttreten des BGÖ wurde die Tragweite der Schweigepflicht gemäss Art. 86 BVG bundesrechtlich eingeschränkt; es handelt sich dabei nicht um eine Spezialbestimmung im Sinne von Art. 4 lit. a BGÖ. Art. 86 BVG schützt nur noch geheime Informationen, die unter einen Ausnahmetatbestand nach Art. 7 und 8 BGÖ fallen (E. 3.2-3.4). Art. 86 BVG steht dem Zugang zu Dokumenten im Sinne des Genfer Rechts (Art. 26 Abs. 4 LIPAD/GE) nicht entgegen (E. 3.1 und 3.5).</w:t>
      </w:r>
    </w:p>
    <w:p>
      <w:pPr>
        <w:pStyle w:val="Heading2"/>
      </w:pPr>
      <w:r>
        <w:t>Erwägungen</w:t>
      </w:r>
    </w:p>
    <w:p>
      <w:r>
        <w:rPr>
          <w:b/>
        </w:rPr>
        <w:t>E. 3</w:t>
      </w:r>
    </w:p>
    <w:p>
      <w:r>
        <w:t>Se prévalant d'arbitraire, le recourant fait grief à l'instance précédente d'avoir retenu que l'art. 26 al. 4 LIPAD (en lien avec les BGE 148 II 16 S. 20 art. 86 et 86a LPP ) faisait obstacle à la communication du procès-verbal de la séance du comité de la Caisse ayant trait aux décisions d'abaissement du taux technique à 1.75 % et de changement de table de mortalité. Il se plaint aussi d'une violation de la souveraineté cantonale ( art. 3 Cst. ) et du droit à l'information garanti par l'art. 28 de la constitution du canton de Genève du 14 octobre 2012 (Cst./GE; RS 131.234). Ces griefs se confondent dans la mesure où ils tendent à démontrer que c'est à tort que l'accès au document en question a été refusé.</w:t>
      </w:r>
    </w:p>
    <w:p>
      <w:r>
        <w:rPr>
          <w:b/>
        </w:rPr>
        <w:t>E. 3.1</w:t>
      </w:r>
    </w:p>
    <w:p>
      <w:r>
        <w:t>Dans le canton de Genève, à teneur de l' art. 9 al. 3 Cst./GE , l'activité publique s'exerce de manière transparente, conformément aux règles de la bonne foi, dans le respect du droit fédéral et du droit international. Selon l' art. 28 al. 2 Cst./GE , toute personne a le droit de prendre connaissance des informations et d'accéder aux documents officiels, à moins qu'un intérêt prépondérant ne s'y oppose. La LIPAD a pour but de favoriser la libre formation de l'opinion et la participation à la vie publique (art. 1 LIPAD). En édictant cette loi, le législateur genevois a voulu passer d'un régime du secret assorti d'exception,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oeuvre des politiques publiques. L'instauration d'un droit individuel d'accès aux documents représente l'innovation majeure propre à conférer sa pleine dimension au changement de culture qu'implique l'abandon du principe du secret (Mémorial des séances du Grand Conseil [MGC], séance du jeudi 26 octobre 2000, disponible sous: www.ge.ch/grandconseil /memorial/seances/540311/45/ [consulté le 16 février 2022]). Toutefois, l'application de la LIPAD n'est pas inconditionnelle. Sont ainsi soustraits au droit d'accès les documents à la communication desquels un intérêt public ou privé prépondérant s'oppose (art. 26 al. 1 LIPAD). Sont également exclus du droit d'accès les documents à la communication desquels le droit fédéral ou une loi cantonale fait obstacle (art. 26 al. 4 LIPAD). Selon les travaux préparatoires, "aux exceptions énumérées explicitement à l'art. 26, il est prudent d'ajouter une réserve des dispositions de droit fédéral ou cantonal faisant obstacle à l'exercice du droit individuel d'accès institué par la LIPAD. Certes, le principe de la primauté du droit fédéral BGE 148 II 16 S. 21 suffirait à fonder des refus au regard de normes de droit fédéral. La mention du droit fédéral n'en a pas moins une utile valeur didactique [...]. La réserve figurant à l'art. 26 al. 4 présente aussi l'avantage d'intégrer en quelque sorte à la LIPAD les exceptions spécifiques résultant du droit fédéral ou d'autres lois cantonales dans la perspective de la détermination de l'étendue du secret de fonction, dont la définition se trouve désormais logiquement faite par référence à la LIPAD" (MGC, séance op. cit.).</w:t>
      </w:r>
    </w:p>
    <w:p>
      <w:r>
        <w:rPr>
          <w:b/>
        </w:rPr>
        <w:t>E. 3.2</w:t>
      </w:r>
    </w:p>
    <w:p>
      <w:r>
        <w:t>L' art. 86 LPP , intitulé "obligation de garder le secret", prévoit que les personnes qui participent à l'application de la LPP, ainsi qu'au contrôle ou à la surveillance de son exécution, sont tenues de garder le secret à l'égard des tiers. Partant, les membres du comité de la Caisse sont soumis à l'obligation de confidentialité de l' art. 86 LPP ainsi qu'à la menace des peines prévues par l' art. 76 LPP en cas de violation de l'obligation de garder le secret. Ils sont aussi soumis au secret de fonction, sous réserve de devoirs de communication et d'information imposés par cette loi ou par la législation fédérale (art. 55 de la loi du 14 septembre 2012 instituant la Caisse de prévoyance de l'Etat de Genève [LCPEG; rs/GE B 5 22]).</w:t>
      </w:r>
    </w:p>
    <w:p>
      <w:r>
        <w:rPr>
          <w:b/>
        </w:rPr>
        <w:t>E. 3.3</w:t>
      </w:r>
    </w:p>
    <w:p>
      <w:r>
        <w:t>En l'espèce, le recourant fait grief à la cour cantonale d'avoir tiré parti des art. 86 et 86a LPP , qui concerneraient uniquement la protection des données des assurés, pour refuser d'appliquer le droit cantonal ayant pour but d'assurer la transparence de l'administration. A son sens, affirmer qu'une information soumise au secret de fonction serait de ce seul fait exclue du droit d'accès reviendrait à annuler purement et simplement la législation sur la transparence: ce ne serait pas parce qu'un fonctionnaire est soumis au secret de fonction que le document qu'il produit serait soustrait au droit d'accès. Le recourant ajoute que l'accès au procès-verbal du comité de la Caisse ayant trait aux décisions d'abaissement du taux technique à 1.75 % et de changement de table de mortalité ne traite en rien des données personnelles d'un assuré.</w:t>
      </w:r>
    </w:p>
    <w:p>
      <w:r>
        <w:rPr>
          <w:b/>
        </w:rPr>
        <w:t>E. 3.4</w:t>
      </w:r>
    </w:p>
    <w:p>
      <w:r>
        <w:t>Il y a d'abord lieu d'examiner si le droit fédéral fait obstacle au droit d'accès du procès-verbal litigieux. S'agissant de droit fédéral, le Tribunal fédéral dispose d'un plein pouvoir d'examen ( art. 95 let. a et 106 al. 1 LTF ).</w:t>
      </w:r>
    </w:p>
    <w:p>
      <w:r>
        <w:rPr>
          <w:b/>
        </w:rPr>
        <w:t>E. 3.4.1</w:t>
      </w:r>
    </w:p>
    <w:p>
      <w:r>
        <w:t>L'art. 6 de la loi fédérale du 17 décembre 2004 sur le principe de la transparence dans l'administration (LTrans; RS 152.3) BGE 148 II 16 S. 22 garantit un droit général d'accès aux documents officiels. Ce droit d'accès général concrétise le but fixé à l'art. 1 de la loi, qui est de renverser le principe du secret de l'activité de l'administration au profit de celui de la transparence quant à la mission, l'organisation et l'activité du secteur public. L' art. 4 let. a LTrans réserve toutefois les dispositions spéciales d'autres lois fédérales qui déclarent certaines informations secrètes. Une disposition spéciale peut ainsi empêcher l'accès à un document officiel ou le soumettre à des règles divergentes, qui peuvent être plus strictes ou, au contraire, faciliter la consultation du document. Le Message relatif à la LTrans cite notamment comme exemple les normes relatives au devoir de discrétion prévues par la législation en matière d'assurances sociales (Message du 12 février 2003 relatif à la LTrans, FF 2003 1832 s.). Cependant, il ressort aussi du Message relatif à la LTrans que le secret de fonction des employés de la Confédération, garanti à l'art. 22 de la loi fédérale du 24 mars 2000 sur le personnel de la Confédération (LPers; RS 172.220.1) et antérieur à l'entrée en vigueur de la LTrans, ne saurait être considéré comme une disposition spéciale garantissant le secret car il est l'émanation du principe du secret prévalant avant l'entrée en vigueur de la LTrans. La LTrans limite au contraire le champ d'application du secret de fonction aux informations qui ne sont pas publiquement accessibles. En d'autres termes, le secret de fonction prévu à l' art. 22 LPers ne peut pas exclure l'application de la LTrans puisque cela aurait été incompatible avec le changement de paradigme introduit par la LTrans. La portée pratique du secret de fonction est ainsi réduite, puisqu'il ne protège plus que les informations couvertes par le secret en application des exceptions au principe de transparence prévues aux art. 7 et 8 LTrans (FF 2003 1833; arrêt 1C_129/2016 du 14 février 2017 consid. 2.3.1, in ZBl 2018 p. 395; voir aussi ATF 146 II 261 consid. 3.1). De même, l'obligation de garder le secret prévue par l'art. 44 de la loi du 13 mars 1964 sur le travail dans l'industrie, l'artisanat et le commerce (LTr; RS 822.11) ne constitue pas non plus une disposition spéciale qui serait réservée par l' art. 4 let. a LTrans . L' art. 44 LTr prévoit que "les personnes qui sont chargées de tâches prévues par la présente loi ou qui y participent sont tenues de garder le secret à l'égard des tiers sur les faits qu'ils apprennent dans l'exercice de leur fonction". Il ne forme en effet qu'une expression spécifique BGE 148 II 16 S. 23 du secret de fonction général (cf. arrêt 1C_129/2016 du 14 février 2017 consid. 2.3.2; FRANÇOIS CHAIX, Le principe de la transparence de l'administration dans la jurisprudence du Tribunal fédéral, in Droit public de l'organisation - responsabilité des collectivités publiques - fonction publique, Annuaire 2019/2020, 2020, p. 67).</w:t>
      </w:r>
    </w:p>
    <w:p>
      <w:r>
        <w:rPr>
          <w:b/>
        </w:rPr>
        <w:t>E. 3.4.2</w:t>
      </w:r>
    </w:p>
    <w:p>
      <w:r>
        <w:t>L'obligation de garder le secret prévue à l' art. 86 LPP a été introduite dans le cadre de "l'adaptation et l'harmonisation des bases légales pour le traitement de données personnelles dans les assurances sociales", afin d'adapter la législation sur les assurances sociales aux exigences de la loi fédérale sur la protection des données (Message du 24 novembre 1999 concernant l'adaptation et l'harmonisation des bases légales pour le traitement de données personnelles dans les assurances sociales, FF 2000 219 ss). L' art. 86 LPP , entré en vigueur le 1 er janvier 2001 (RO 2000 2689), est antérieur à la LTrans, entrée en vigueur le 1 er juillet 2006. Comme les art. 22 LPers et 44 LTr, l' art. 86 LPP est formulé de manière large et ne fait qu'exprimer, sous une forme modifiée, le secret de fonction général. La portée de l'obligation de garder le secret de l' art. 86 LPP doit donc être définie de manière concrète en coordination avec la LTrans: l'obligation de garder le secret ne s'applique plus qu'aux informations qui ne sont pas accessibles aux termes de la loi sur la transparence, par exemple parce qu'elles tombent sous le coup d'une disposition dérogatoire prévue aux art. 7 ou 8 LTrans (cf. FF 2003 1833 ch 1.1.3.3; BERTIL COTTIER, in Handkommentar zum Öffentlichkeitsgesetz, Brunner/Mader [éd.], 2008, n° 10 ad art. 4 LTransau sujet de l'art. 33 de la loi fédérale du 6 octobre 2000 sur la partie générale du droit des assurances sociales [LPGA; RS 830.1] dont la formulation est quasi identique à celle de l' art. 86 LPP ;voir aussi CHRISTA STAMM-PFISTER, in Basler Kommentar, Datenschutzgesetz, Öffentlichkeitsgesetz, 3 e éd. 2014, n° 9 ad art. 4 LTrans ). Il faut en déduire que l'entrée en vigueur de la LTrans a réduit la portée de l' art. 86 LPP . Tous les documents accessibles en vertu de la LTrans ne sont pas couverts par l'obligation de garder le secret. Cela vaut en particulier pour les documents contenant des données non personnelles, comme par exemple les informations relatives aux processus internes des autorités, aux planifications et à la surveillance des assureurs (COTTIER, op. cit., n° 10 ad art. 4 LTrans ). En revanche, la communication à des tiers de données personnelles (notamment en lien avec les assurés) demeure en principe refusée ( art. 7 al. 2 LTrans et 86a al. 5 let. b LPP). BGE 148 II 16 S. 24</w:t>
      </w:r>
    </w:p>
    <w:p>
      <w:r>
        <w:rPr>
          <w:b/>
        </w:rPr>
        <w:t>E. 3.4.3</w:t>
      </w:r>
    </w:p>
    <w:p>
      <w:r>
        <w:t>Par conséquent, sur le plan fédéral, l' art. 86 LPP ne constitue pas une disposition spéciale au sens de l' art. 4 let. a LTrans . Il ne protège plus que les informations couvertes par le secret en application des exceptions prévues aux art. 7 et 8 LTrans . Le procès-verbal litigieux relatif aux décisions d'abaissement du taux technique et de changement de table de mortalité ne contient a priori pas de données personnelles en lien avec des assurés et n'est ainsi pas couvert par l'obligation de garder le secret.</w:t>
      </w:r>
    </w:p>
    <w:p>
      <w:r>
        <w:rPr>
          <w:b/>
        </w:rPr>
        <w:t>E. 3.5</w:t>
      </w:r>
    </w:p>
    <w:p>
      <w:r>
        <w:t>Il découle de ce qui précède que le droit fédéral ne fait pas obstacle au droit d'accès aux documents au sens de l'art. 26 al. 4 LIPAD. L' art. 86 LPP ne peut dès lors constituer une exception de droit fédéral à l'accès au document demandé. L'arrêt attaqué apparaît en contradiction avec le principe de transparence tel qu'il découle de la LIPAD et de la Constitution genevoise. La cour cantonale a donc appliqué arbitrairement l'art. 26 al. 4 LIPAD, en jugeant que le droit fédéral faisait obstacle à la communication du document demandé. Le grief du recourant est ainsi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